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31205" w14:textId="77777777" w:rsidR="005034DD" w:rsidRPr="004258ED" w:rsidRDefault="00000000" w:rsidP="004258ED">
      <w:pPr>
        <w:spacing w:after="200" w:line="320" w:lineRule="auto"/>
        <w:jc w:val="both"/>
        <w:rPr>
          <w:sz w:val="18"/>
          <w:szCs w:val="18"/>
        </w:rPr>
      </w:pPr>
      <w:r w:rsidRPr="004258ED">
        <w:rPr>
          <w:b/>
          <w:bCs/>
          <w:color w:val="000000"/>
          <w:sz w:val="24"/>
          <w:szCs w:val="24"/>
        </w:rPr>
        <w:t>Poziția Nova Power &amp; Gas privind raportul Corpului de Control al Prim-Ministrului: tranzacția amplasamentului de la Doicești este integral reversibilă și nu poate genera pierderi pentru compania de proiect</w:t>
      </w:r>
    </w:p>
    <w:p w14:paraId="59F6BA1F" w14:textId="2315552A" w:rsidR="004258ED" w:rsidRDefault="005665E9" w:rsidP="005665E9">
      <w:pPr>
        <w:spacing w:after="180" w:line="300" w:lineRule="auto"/>
        <w:jc w:val="both"/>
        <w:rPr>
          <w:i/>
          <w:iCs/>
          <w:color w:val="1A1A1A"/>
          <w:sz w:val="19"/>
          <w:szCs w:val="19"/>
        </w:rPr>
      </w:pPr>
      <w:r>
        <w:rPr>
          <w:i/>
          <w:iCs/>
          <w:color w:val="1A1A1A"/>
          <w:sz w:val="19"/>
          <w:szCs w:val="19"/>
        </w:rPr>
        <w:t>28 iulie 2026</w:t>
      </w:r>
    </w:p>
    <w:p w14:paraId="74687AB0" w14:textId="77777777" w:rsidR="008230D0" w:rsidRPr="004258ED" w:rsidRDefault="008230D0" w:rsidP="005665E9">
      <w:pPr>
        <w:spacing w:after="180" w:line="300" w:lineRule="auto"/>
        <w:jc w:val="both"/>
        <w:rPr>
          <w:i/>
          <w:iCs/>
          <w:color w:val="1A1A1A"/>
          <w:sz w:val="19"/>
          <w:szCs w:val="19"/>
        </w:rPr>
      </w:pPr>
    </w:p>
    <w:p w14:paraId="1A977DBB" w14:textId="4A93147C" w:rsidR="008230D0" w:rsidRDefault="00000000">
      <w:pPr>
        <w:spacing w:after="150" w:line="300" w:lineRule="auto"/>
        <w:jc w:val="both"/>
        <w:rPr>
          <w:color w:val="1A1A1A"/>
        </w:rPr>
      </w:pPr>
      <w:bookmarkStart w:id="0" w:name="OLE_LINK1"/>
      <w:r>
        <w:rPr>
          <w:color w:val="1A1A1A"/>
        </w:rPr>
        <w:t xml:space="preserve">Nova Power &amp; Gas a luat act de sinteza raportului Corpului de Control al Prim-Ministrului privind activitatea Societății Naționale Nuclearelectrica în implementarea proiectului reactoarelor modulare mici. </w:t>
      </w:r>
    </w:p>
    <w:p w14:paraId="5FA87604" w14:textId="73B12737" w:rsidR="008230D0" w:rsidRDefault="008230D0" w:rsidP="008230D0">
      <w:pPr>
        <w:spacing w:after="150" w:line="300" w:lineRule="auto"/>
        <w:jc w:val="both"/>
      </w:pPr>
      <w:r>
        <w:t>Toate documentele anexate prezentului comunicat, precum și alte documente relevante, au fost transmise Corpului de Control încă d</w:t>
      </w:r>
      <w:r w:rsidR="00F22AE5">
        <w:t>e la începutul</w:t>
      </w:r>
      <w:r>
        <w:t xml:space="preserve"> anul</w:t>
      </w:r>
      <w:r w:rsidR="00F22AE5">
        <w:t>ui</w:t>
      </w:r>
      <w:r>
        <w:t xml:space="preserve"> 202</w:t>
      </w:r>
      <w:r w:rsidR="00C03746">
        <w:t>6</w:t>
      </w:r>
      <w:r>
        <w:t>. Punem la dispoziţia autorităţilor și a acţionarilor companiei de proiect întreaga documentaţie aferentă participării noastre și susţinem orice verificare independentă a costurilor. Considerăm însă necesare următoarele precizări, toate verificabile în documentele tranzacţiei.</w:t>
      </w:r>
    </w:p>
    <w:bookmarkEnd w:id="0"/>
    <w:p w14:paraId="5C6EB1DD" w14:textId="77777777" w:rsidR="005665E9" w:rsidRDefault="00000000">
      <w:pPr>
        <w:keepNext/>
        <w:keepLines/>
        <w:spacing w:before="220" w:after="120" w:line="300" w:lineRule="auto"/>
        <w:jc w:val="both"/>
        <w:rPr>
          <w:b/>
          <w:bCs/>
          <w:color w:val="1A1A1A"/>
        </w:rPr>
      </w:pPr>
      <w:r>
        <w:rPr>
          <w:b/>
          <w:bCs/>
          <w:color w:val="1A1A1A"/>
        </w:rPr>
        <w:t>1. Nu au fost vândute aceleași active care au fost cumpărate.</w:t>
      </w:r>
    </w:p>
    <w:p w14:paraId="49F41B3F" w14:textId="1CBEBD3E" w:rsidR="005034DD" w:rsidRDefault="00000000" w:rsidP="004258ED">
      <w:pPr>
        <w:keepNext/>
        <w:keepLines/>
        <w:spacing w:before="220" w:after="120" w:line="300" w:lineRule="auto"/>
        <w:jc w:val="both"/>
      </w:pPr>
      <w:r>
        <w:rPr>
          <w:b/>
          <w:bCs/>
          <w:color w:val="1A1A1A"/>
        </w:rPr>
        <w:t xml:space="preserve"> </w:t>
      </w:r>
      <w:r>
        <w:rPr>
          <w:color w:val="1A1A1A"/>
        </w:rPr>
        <w:t>În anul 2021 au fost cumpărate active constând în terenuri și clădiri nedemolate, aparținând fostei termocentrale, oprită de aproximativ 12 ani, cu obligații integrale de demolare și de închidere a sarcinilor de mediu. În 2025 nu s-au vândut aceleași active. Vânzarea a constat în:</w:t>
      </w:r>
    </w:p>
    <w:p w14:paraId="34C61322" w14:textId="77777777" w:rsidR="005034DD" w:rsidRDefault="00000000" w:rsidP="004258ED">
      <w:pPr>
        <w:pStyle w:val="ListParagraph"/>
        <w:keepNext/>
        <w:keepLines/>
        <w:numPr>
          <w:ilvl w:val="0"/>
          <w:numId w:val="2"/>
        </w:numPr>
        <w:spacing w:after="80" w:line="290" w:lineRule="auto"/>
        <w:jc w:val="both"/>
      </w:pPr>
      <w:r>
        <w:rPr>
          <w:color w:val="1A1A1A"/>
        </w:rPr>
        <w:t>50 de hectare de teren ecologizate și descărcate de sarcini de mediu, după demolarea integrală a fostei termocentrale pe cărbune de la Doicești. Este singura termocentrală pe cărbune din România demolată complet.</w:t>
      </w:r>
    </w:p>
    <w:p w14:paraId="2DD8D1A0" w14:textId="77777777" w:rsidR="005034DD" w:rsidRDefault="00000000" w:rsidP="004258ED">
      <w:pPr>
        <w:pStyle w:val="ListParagraph"/>
        <w:keepNext/>
        <w:keepLines/>
        <w:numPr>
          <w:ilvl w:val="0"/>
          <w:numId w:val="2"/>
        </w:numPr>
        <w:spacing w:after="80" w:line="290" w:lineRule="auto"/>
        <w:jc w:val="both"/>
      </w:pPr>
      <w:r>
        <w:rPr>
          <w:color w:val="1A1A1A"/>
        </w:rPr>
        <w:t>Stație de transformare de 110 kV/20 kV, cu 6 linii electrice aeriene de 110 kV, complet nouă, la o valoare contabilă de 12 milioane de euro.</w:t>
      </w:r>
    </w:p>
    <w:p w14:paraId="71EEAB88" w14:textId="77777777" w:rsidR="005034DD" w:rsidRDefault="00000000" w:rsidP="004258ED">
      <w:pPr>
        <w:pStyle w:val="ListParagraph"/>
        <w:keepNext/>
        <w:keepLines/>
        <w:numPr>
          <w:ilvl w:val="0"/>
          <w:numId w:val="2"/>
        </w:numPr>
        <w:spacing w:after="80" w:line="290" w:lineRule="auto"/>
        <w:jc w:val="both"/>
      </w:pPr>
      <w:r>
        <w:rPr>
          <w:color w:val="1A1A1A"/>
        </w:rPr>
        <w:t>Capacitate de racordare la Sistemul Energetic Național de aproximativ 600 MW, prin 2 linii electrice aeriene de 220 kV și 6 linii electrice aeriene de 110 kV, unul dintre cele mai importante noduri energetice din țară.</w:t>
      </w:r>
    </w:p>
    <w:p w14:paraId="6C377A63" w14:textId="77777777" w:rsidR="005034DD" w:rsidRDefault="00000000" w:rsidP="004258ED">
      <w:pPr>
        <w:pStyle w:val="ListParagraph"/>
        <w:keepLines/>
        <w:numPr>
          <w:ilvl w:val="0"/>
          <w:numId w:val="2"/>
        </w:numPr>
        <w:spacing w:after="150" w:line="290" w:lineRule="auto"/>
        <w:jc w:val="both"/>
      </w:pPr>
      <w:r>
        <w:rPr>
          <w:color w:val="1A1A1A"/>
        </w:rPr>
        <w:t>Clădire de birouri modernizată, complet utilată și mobilată, drumuri, parcări, sistem de control al accesului, amenajări interioare și alte active.</w:t>
      </w:r>
    </w:p>
    <w:p w14:paraId="4E67F28D" w14:textId="15A64173" w:rsidR="004258ED" w:rsidRPr="008230D0" w:rsidRDefault="00000000" w:rsidP="008230D0">
      <w:pPr>
        <w:keepLines/>
        <w:spacing w:after="120" w:line="300" w:lineRule="auto"/>
        <w:ind w:left="316"/>
        <w:jc w:val="both"/>
        <w:rPr>
          <w:color w:val="1A1A1A"/>
        </w:rPr>
      </w:pPr>
      <w:r>
        <w:rPr>
          <w:color w:val="1A1A1A"/>
        </w:rPr>
        <w:t>Valoarea contabilă a mijloacelor fixe care au făcut obiectul vânzării, împreună cu cheltuielile de refacturare a lucrărilor speciale pentru situl nuclear, lucrări în valoare de 19 milioane de euro fără TVA, depășește 40 de milioane de euro, fiind mai mare decât valoarea tranzacției.</w:t>
      </w:r>
    </w:p>
    <w:p w14:paraId="3DFE5E94" w14:textId="77777777" w:rsidR="005665E9" w:rsidRDefault="00000000">
      <w:pPr>
        <w:keepLines/>
        <w:spacing w:before="220" w:after="120" w:line="300" w:lineRule="auto"/>
        <w:jc w:val="both"/>
        <w:rPr>
          <w:b/>
          <w:bCs/>
          <w:color w:val="1A1A1A"/>
        </w:rPr>
      </w:pPr>
      <w:r>
        <w:rPr>
          <w:b/>
          <w:bCs/>
          <w:color w:val="1A1A1A"/>
        </w:rPr>
        <w:t>2. Prețul a fost stabilit pe baza ofertei cumpărătorului, la cea mai mică dintre evaluările de piață.</w:t>
      </w:r>
    </w:p>
    <w:p w14:paraId="06EB5E83" w14:textId="391CDB49" w:rsidR="005034DD" w:rsidRPr="004258ED" w:rsidRDefault="00C16E79">
      <w:pPr>
        <w:keepLines/>
        <w:spacing w:before="220" w:after="120" w:line="300" w:lineRule="auto"/>
        <w:jc w:val="both"/>
      </w:pPr>
      <w:r w:rsidRPr="004258ED">
        <w:t>Tranzacția s-a realizat pe baza ofertei făcute de RoPower către Nova Power &amp; Gas, în urma unor evaluări de piață a căror medie a fost de 45 de milioane de euro. Vânzarea amplasamentului, cu activele menționate mai sus, s-a făcut la cea mai mică valoare de piață, respectiv 24,5 milioane de euro. Evaluările au fost realizate de companii din Big</w:t>
      </w:r>
      <w:r w:rsidR="004258ED" w:rsidRPr="004258ED">
        <w:t xml:space="preserve">4 </w:t>
      </w:r>
      <w:r w:rsidRPr="004258ED">
        <w:t xml:space="preserve">și de o companie lider național, evaluator ANEVAR. Nova nu înregistrează profit din această tranzacție nici în ipoteza în care factura pentru lucrările suplimentare specifice proiectului nuclear ar fi plătită, iar în absența facturării acestor lucrări ar fi înregistrat o pierdere de aproximativ 19 milioane de euro. </w:t>
      </w:r>
      <w:r w:rsidR="004258ED" w:rsidRPr="004258ED">
        <w:t xml:space="preserve">Aceste </w:t>
      </w:r>
      <w:r w:rsidR="004258ED" w:rsidRPr="004258ED">
        <w:rPr>
          <w:rFonts w:eastAsia="Calibri" w:cs="Calibri"/>
        </w:rPr>
        <w:t xml:space="preserve">lucrările specifice de pregătire a site-ului au fost realizate între 2022 și 2025, la cererea expresă a echipei mixte de proiect (Nuclearelectrica, RoPower, Fluor Corporation și NuScale), validate săptămânal în ședințe de roll-out cu consultantul de specialitate nucleară. </w:t>
      </w:r>
      <w:r w:rsidRPr="004258ED">
        <w:t>Contravaloarea acestor lucrări a fost propusă de Nova pentru a fi transformată în aport la capitalul social al RoPower.</w:t>
      </w:r>
    </w:p>
    <w:p w14:paraId="5A18279A" w14:textId="6C2A8ED4" w:rsidR="004258ED" w:rsidRPr="008230D0" w:rsidRDefault="00000000">
      <w:pPr>
        <w:keepLines/>
        <w:spacing w:before="220" w:after="120" w:line="300" w:lineRule="auto"/>
        <w:jc w:val="both"/>
        <w:rPr>
          <w:color w:val="1A1A1A"/>
        </w:rPr>
      </w:pPr>
      <w:r>
        <w:rPr>
          <w:b/>
          <w:bCs/>
          <w:color w:val="1A1A1A"/>
        </w:rPr>
        <w:lastRenderedPageBreak/>
        <w:t xml:space="preserve">3. Tranzacția este integral reversibilă. </w:t>
      </w:r>
      <w:r>
        <w:rPr>
          <w:color w:val="1A1A1A"/>
        </w:rPr>
        <w:t>RoPower nu poate înregistra pierderi din tranzacțiile cu Nova Power &amp; Gas, deoarece a avut și are în continuare notificări care îi oferă dreptul de a reversa integral tranzacția de cumpărare a amplasamentului, de a recupera integral plata și de a nu achita lucrările suplimentare. Vă anexăm cele 3 notificări transmise. Acest drept al RoPower este în vigoare până la data de 1 octombrie 2026</w:t>
      </w:r>
      <w:r w:rsidR="00A850EB">
        <w:rPr>
          <w:color w:val="1A1A1A"/>
        </w:rPr>
        <w:t xml:space="preserve"> inclusiv</w:t>
      </w:r>
      <w:r>
        <w:rPr>
          <w:color w:val="1A1A1A"/>
        </w:rPr>
        <w:t>. În aceste condiții, achiziția amplasamentului de către compania de proiect nu poate produce o pierdere, nici pentru RoPower, nici pentru investiția publică.</w:t>
      </w:r>
      <w:r w:rsidR="00A850EB">
        <w:rPr>
          <w:color w:val="1A1A1A"/>
        </w:rPr>
        <w:t xml:space="preserve"> In plus, evaluarea post tranzactie a activelor cumparate, realizata de catre RoPower a fost de minim 63,5 milioane euro.</w:t>
      </w:r>
    </w:p>
    <w:p w14:paraId="796F2E6F" w14:textId="0CC7E861" w:rsidR="004258ED" w:rsidRDefault="00000000">
      <w:pPr>
        <w:keepLines/>
        <w:spacing w:before="220" w:after="120" w:line="300" w:lineRule="auto"/>
        <w:jc w:val="both"/>
        <w:rPr>
          <w:color w:val="1A1A1A"/>
        </w:rPr>
      </w:pPr>
      <w:r>
        <w:rPr>
          <w:b/>
          <w:bCs/>
          <w:color w:val="1A1A1A"/>
        </w:rPr>
        <w:t xml:space="preserve">4. </w:t>
      </w:r>
      <w:r w:rsidR="00A850EB">
        <w:rPr>
          <w:b/>
          <w:bCs/>
          <w:color w:val="1A1A1A"/>
        </w:rPr>
        <w:t xml:space="preserve">Finanțarea și componenta de tehnologie. </w:t>
      </w:r>
      <w:r w:rsidR="00A850EB">
        <w:rPr>
          <w:color w:val="1A1A1A"/>
        </w:rPr>
        <w:t>Finanțarea RoPower s-a făcut încă de la început prin credite comerciale acordate de Nuclearelectrica, la o dobândă de 12% pe an, în euro. Nuclearelectrica a înregistrat aceste profituri în bilanțurile contabile anuale (91,7 milioane RON la 31 decembrie 2025). Creditele au fost garantate prin preluarea drepturilor de proprietate intelectuală și prin gajuri pe activele RoPower în favoarea Nuclearelectrica, precum și de avantajele exploatării viitoarei centrale și a energiei produse. Alegerea tehnologiei americane și negocierea drepturilor locale și regionale privind aplicarea acesteia s-au făcut prin negocieri directe între Nuclearelectrica, RoPower și furnizorul de tehnologie, fără participarea Nova Power &amp; Gas.</w:t>
      </w:r>
    </w:p>
    <w:p w14:paraId="5E79B114" w14:textId="37B640B2" w:rsidR="004258ED" w:rsidRDefault="00A850EB">
      <w:pPr>
        <w:keepLines/>
        <w:spacing w:before="220" w:after="120" w:line="300" w:lineRule="auto"/>
        <w:jc w:val="both"/>
        <w:rPr>
          <w:color w:val="1A1A1A"/>
        </w:rPr>
      </w:pPr>
      <w:r>
        <w:rPr>
          <w:color w:val="1A1A1A"/>
        </w:rPr>
        <w:t xml:space="preserve">5. </w:t>
      </w:r>
      <w:r>
        <w:rPr>
          <w:b/>
          <w:bCs/>
          <w:color w:val="1A1A1A"/>
        </w:rPr>
        <w:t xml:space="preserve">Participarea la capitalul social a fost și rămâne egală. </w:t>
      </w:r>
      <w:r>
        <w:rPr>
          <w:color w:val="1A1A1A"/>
        </w:rPr>
        <w:t>Participarea la capitalul social al companiei de proiect a fost și este, până în acest moment, egală între Nova Power &amp; Gas și Nuclearelectrica. Alegerea Nuclearelectrica de a înființa o companie privată,</w:t>
      </w:r>
      <w:r w:rsidR="004258ED">
        <w:rPr>
          <w:color w:val="1A1A1A"/>
        </w:rPr>
        <w:t xml:space="preserve"> RoPower,</w:t>
      </w:r>
      <w:r>
        <w:rPr>
          <w:color w:val="1A1A1A"/>
        </w:rPr>
        <w:t xml:space="preserve"> s-a bazat pe faptul că o structură privată oferă mai multă flexibilitate în achiziții și în decizii, precum și mai multă atractivitate pentru fondurile de investiții. Încă de la începutul proiectului s-a convenit ca Nova să își reducă participația odată cu intrarea de noi investitori, fapt dovedit de aprobarea de către Nova a intrării fondului de investiții coreean DSPE în acționariat și de reducerea participării Nova la 13%. Intrarea DSPE nu a fost aprobată de către acționarii Nuclearelectrica.</w:t>
      </w:r>
    </w:p>
    <w:p w14:paraId="6146E8B1" w14:textId="35515481" w:rsidR="004258ED" w:rsidRPr="008230D0" w:rsidRDefault="00A850EB">
      <w:pPr>
        <w:keepLines/>
        <w:spacing w:before="220" w:after="120" w:line="300" w:lineRule="auto"/>
        <w:jc w:val="both"/>
        <w:rPr>
          <w:color w:val="1A1A1A"/>
        </w:rPr>
      </w:pPr>
      <w:r>
        <w:rPr>
          <w:b/>
          <w:bCs/>
          <w:color w:val="1A1A1A"/>
        </w:rPr>
        <w:t xml:space="preserve">6. Cum a fost ales amplasamentul. </w:t>
      </w:r>
      <w:r>
        <w:rPr>
          <w:color w:val="1A1A1A"/>
        </w:rPr>
        <w:t>Nova Power &amp; Gas avea un proiect de dezvoltare a unui amplasament hibrid, cu producție de energie pe gaz, capacități solare și stocare în baterii, similar proiectelor de la Câmpia Turzii</w:t>
      </w:r>
      <w:r w:rsidR="00C16E79">
        <w:rPr>
          <w:color w:val="1A1A1A"/>
        </w:rPr>
        <w:t xml:space="preserve"> (jud. Cluj)</w:t>
      </w:r>
      <w:r>
        <w:rPr>
          <w:color w:val="1A1A1A"/>
        </w:rPr>
        <w:t xml:space="preserve"> și Roșiori</w:t>
      </w:r>
      <w:r w:rsidR="00C16E79">
        <w:rPr>
          <w:color w:val="1A1A1A"/>
        </w:rPr>
        <w:t xml:space="preserve"> (jud. Satu Mare).</w:t>
      </w:r>
      <w:r>
        <w:rPr>
          <w:color w:val="1A1A1A"/>
        </w:rPr>
        <w:t xml:space="preserve"> </w:t>
      </w:r>
      <w:r w:rsidR="00C16E79">
        <w:rPr>
          <w:rFonts w:ascii="Calibri" w:eastAsia="Calibri" w:hAnsi="Calibri" w:cs="Calibri"/>
          <w:sz w:val="22"/>
          <w:szCs w:val="22"/>
        </w:rPr>
        <w:t>Verificarea locației Doicești și negocierile au început în 2020</w:t>
      </w:r>
      <w:r w:rsidR="00C16E79">
        <w:rPr>
          <w:color w:val="1A1A1A"/>
        </w:rPr>
        <w:t>,</w:t>
      </w:r>
      <w:r>
        <w:rPr>
          <w:color w:val="1A1A1A"/>
        </w:rPr>
        <w:t xml:space="preserve"> av</w:t>
      </w:r>
      <w:r w:rsidR="00C16E79">
        <w:rPr>
          <w:color w:val="1A1A1A"/>
        </w:rPr>
        <w:t>ând deja</w:t>
      </w:r>
      <w:r>
        <w:rPr>
          <w:color w:val="1A1A1A"/>
        </w:rPr>
        <w:t xml:space="preserve"> depuse solicitări de studii și avize pentru propriul proiect în momentul în care a fost contactată de Nuclearelectrica pentru a fi partener în acest proiect. Nu am fost informați despre modul de selecție și despre criteriile care au stat la baza selecției.</w:t>
      </w:r>
    </w:p>
    <w:p w14:paraId="5F5D3465" w14:textId="499358E4" w:rsidR="005034DD" w:rsidRDefault="00A850EB">
      <w:pPr>
        <w:keepLines/>
        <w:spacing w:before="220" w:after="120" w:line="300" w:lineRule="auto"/>
        <w:jc w:val="both"/>
      </w:pPr>
      <w:r>
        <w:rPr>
          <w:b/>
          <w:bCs/>
          <w:color w:val="1A1A1A"/>
        </w:rPr>
        <w:t xml:space="preserve">7. Amânarea cumpărării amplasamentului nu s-a datorat Nova Power &amp; Gas. </w:t>
      </w:r>
      <w:r>
        <w:rPr>
          <w:color w:val="1A1A1A"/>
        </w:rPr>
        <w:t>De la înființarea RoPower și până la oferta de cumpărare, Nova Power &amp; Gas a investit și a menținut amplasamentul în așteptare, amânându-și propriul proiect, fără să existe obligații ale părților de vânzare-cumpărare, și a notificat Nuclearelectrica în vederea remedierii acestei situații, conform documentului atașat. Amânarea cumpărării amplasamentului nu s-a datorat companiei Nova.</w:t>
      </w:r>
    </w:p>
    <w:p w14:paraId="231E388B" w14:textId="13FEE985" w:rsidR="004258ED" w:rsidRDefault="00A850EB" w:rsidP="00BB554C">
      <w:pPr>
        <w:keepLines/>
        <w:spacing w:before="220" w:after="120" w:line="300" w:lineRule="auto"/>
        <w:jc w:val="both"/>
        <w:rPr>
          <w:color w:val="1A1A1A"/>
        </w:rPr>
      </w:pPr>
      <w:r>
        <w:rPr>
          <w:b/>
          <w:bCs/>
          <w:color w:val="1A1A1A"/>
        </w:rPr>
        <w:t xml:space="preserve">8. </w:t>
      </w:r>
      <w:r w:rsidR="00BB554C">
        <w:rPr>
          <w:b/>
          <w:bCs/>
          <w:color w:val="1A1A1A"/>
        </w:rPr>
        <w:t xml:space="preserve">Rolul Nova este limitat în timp, iar ieșirea din acționariat nu depinde de Nova. </w:t>
      </w:r>
      <w:r w:rsidR="00BB554C">
        <w:rPr>
          <w:color w:val="1A1A1A"/>
        </w:rPr>
        <w:t>De la început și pe parcursul întregului parteneriat, Nova Power &amp; Gas a exprimat intenția de a fi investitor doar pentru fazele de până la etapa ready</w:t>
      </w:r>
      <w:r w:rsidR="0001007E">
        <w:rPr>
          <w:color w:val="1A1A1A"/>
        </w:rPr>
        <w:t>-</w:t>
      </w:r>
      <w:r w:rsidR="00BB554C">
        <w:rPr>
          <w:color w:val="1A1A1A"/>
        </w:rPr>
        <w:t>to</w:t>
      </w:r>
      <w:r w:rsidR="0001007E">
        <w:rPr>
          <w:color w:val="1A1A1A"/>
        </w:rPr>
        <w:t>-</w:t>
      </w:r>
      <w:r w:rsidR="00BB554C">
        <w:rPr>
          <w:color w:val="1A1A1A"/>
        </w:rPr>
        <w:t>build. Nuclearelectrica are drept de preempțiune asupra acțiunilor deținute de Nova în RoPower, iar Nova nu poate înstrăina acțiunile fără aprobarea Nuclearelectrica.</w:t>
      </w:r>
    </w:p>
    <w:p w14:paraId="1F44AE0A" w14:textId="31152A27" w:rsidR="004258ED" w:rsidRDefault="00A850EB" w:rsidP="004258ED">
      <w:pPr>
        <w:keepLines/>
        <w:spacing w:before="220" w:after="120" w:line="300" w:lineRule="auto"/>
        <w:jc w:val="both"/>
        <w:rPr>
          <w:color w:val="1A1A1A"/>
        </w:rPr>
      </w:pPr>
      <w:r w:rsidRPr="00A850EB">
        <w:rPr>
          <w:b/>
          <w:bCs/>
          <w:color w:val="1A1A1A"/>
        </w:rPr>
        <w:t>9.</w:t>
      </w:r>
      <w:r>
        <w:rPr>
          <w:color w:val="1A1A1A"/>
        </w:rPr>
        <w:t xml:space="preserve"> </w:t>
      </w:r>
      <w:r w:rsidR="005665E9">
        <w:rPr>
          <w:b/>
          <w:bCs/>
          <w:color w:val="1A1A1A"/>
        </w:rPr>
        <w:t xml:space="preserve">Proiectul are oferte de finanțare integrală. </w:t>
      </w:r>
      <w:r w:rsidR="005665E9">
        <w:rPr>
          <w:color w:val="1A1A1A"/>
        </w:rPr>
        <w:t xml:space="preserve">RoPower dispune în acest moment de oferte de finanțare integrală a proiectului. </w:t>
      </w:r>
      <w:r w:rsidRPr="00A850EB">
        <w:rPr>
          <w:color w:val="1A1A1A"/>
        </w:rPr>
        <w:t>Fiind printre primele de acest tip în Europa și chiar în lume, se apropie de proiectele de tip R&amp;D sau Tech, în care un business plan complet este dificil de construit la orice fază a dezvoltării.</w:t>
      </w:r>
    </w:p>
    <w:p w14:paraId="34181082" w14:textId="0785BFA1" w:rsidR="00BB554C" w:rsidRDefault="00C16E79">
      <w:pPr>
        <w:keepLines/>
        <w:spacing w:before="220" w:after="220" w:line="300" w:lineRule="auto"/>
        <w:jc w:val="both"/>
      </w:pPr>
      <w:r>
        <w:rPr>
          <w:rStyle w:val="Strong"/>
        </w:rPr>
        <w:lastRenderedPageBreak/>
        <w:t>10. Amplasamentul rămâne valorificabil indiferent de tehnologia agreată.</w:t>
      </w:r>
      <w:r>
        <w:t xml:space="preserve"> Amplasamentul îndeplinește condițiile pentru dezvoltarea unui proiect nuclear indiferent de tehnologia pe care acționarii o vor decide, iar cheltuielile aferente etapelor FEED 1 și FEED 2 pot fi recuperate parțial, pentru alte amplasamente sau pentru alte tehnologii. În situația aprobării unor fonduri nerambursabile europene pentru energia nucleară, similar mecanismelor aplicate producției de energie electrică din surse regenerabile, amplasamentul de la Doicești ar fi printre primele pregătite să acceseze aceste fonduri, iar energia electrică produsă s-ar încadra într-o marjă comercială de piață.</w:t>
      </w:r>
    </w:p>
    <w:p w14:paraId="1DEF97B6" w14:textId="77777777" w:rsidR="008230D0" w:rsidRDefault="008230D0">
      <w:pPr>
        <w:keepLines/>
        <w:spacing w:before="220" w:after="220" w:line="300" w:lineRule="auto"/>
        <w:jc w:val="both"/>
      </w:pPr>
    </w:p>
    <w:p w14:paraId="31D2291D" w14:textId="77777777" w:rsidR="005034DD" w:rsidRPr="004258ED" w:rsidRDefault="00000000">
      <w:pPr>
        <w:spacing w:after="150" w:line="300" w:lineRule="auto"/>
        <w:jc w:val="both"/>
        <w:rPr>
          <w:i/>
          <w:iCs/>
        </w:rPr>
      </w:pPr>
      <w:r w:rsidRPr="004258ED">
        <w:rPr>
          <w:i/>
          <w:iCs/>
          <w:color w:val="1A1A1A"/>
        </w:rPr>
        <w:t>Nova Power &amp; Gas respectă rolul instituțiilor de control ale statului. Deciziile privind tehnologia, furnizorii și strategia de implementare a proiectului aparțin Nuclearelectrica și statului român, iar Nova le va susține indiferent de configurația finală agreată. Amplasamentul de la Doicești rămâne unul dintre cele mai bine pregătite amplasamente energetice din România pentru dezvoltarea unui proiect nuclear, cu toate condițiile de bază asigurate.</w:t>
      </w:r>
    </w:p>
    <w:p w14:paraId="667FF880" w14:textId="77777777" w:rsidR="005034DD" w:rsidRDefault="005034DD">
      <w:pPr>
        <w:pBdr>
          <w:bottom w:val="single" w:sz="6" w:space="1" w:color="BBBBBB"/>
        </w:pBdr>
        <w:spacing w:before="180" w:after="200"/>
      </w:pPr>
    </w:p>
    <w:p w14:paraId="56C3FEF6" w14:textId="77777777" w:rsidR="00BB554C" w:rsidRDefault="00BB554C">
      <w:pPr>
        <w:pBdr>
          <w:bottom w:val="single" w:sz="6" w:space="1" w:color="BBBBBB"/>
        </w:pBdr>
        <w:spacing w:before="180" w:after="200"/>
      </w:pPr>
    </w:p>
    <w:p w14:paraId="7F7BDC8D" w14:textId="77777777" w:rsidR="005665E9" w:rsidRDefault="00000000">
      <w:pPr>
        <w:spacing w:after="150" w:line="300" w:lineRule="auto"/>
        <w:jc w:val="both"/>
        <w:rPr>
          <w:i/>
          <w:iCs/>
          <w:color w:val="1A1A1A"/>
          <w:sz w:val="18"/>
          <w:szCs w:val="18"/>
        </w:rPr>
      </w:pPr>
      <w:r>
        <w:rPr>
          <w:i/>
          <w:iCs/>
          <w:color w:val="1A1A1A"/>
          <w:sz w:val="18"/>
          <w:szCs w:val="18"/>
        </w:rPr>
        <w:t>Anexe:</w:t>
      </w:r>
    </w:p>
    <w:p w14:paraId="382F1E09" w14:textId="52A8F9C4" w:rsidR="00EB3377" w:rsidRPr="00EB3377" w:rsidRDefault="00EB3377" w:rsidP="00EB3377">
      <w:pPr>
        <w:pStyle w:val="ListParagraph"/>
        <w:numPr>
          <w:ilvl w:val="0"/>
          <w:numId w:val="3"/>
        </w:numPr>
        <w:spacing w:after="150" w:line="300" w:lineRule="auto"/>
        <w:jc w:val="both"/>
        <w:rPr>
          <w:i/>
          <w:iCs/>
          <w:color w:val="1A1A1A"/>
          <w:sz w:val="18"/>
          <w:szCs w:val="18"/>
        </w:rPr>
      </w:pPr>
      <w:r w:rsidRPr="00EB3377">
        <w:rPr>
          <w:i/>
          <w:iCs/>
          <w:color w:val="1A1A1A"/>
          <w:sz w:val="18"/>
          <w:szCs w:val="18"/>
        </w:rPr>
        <w:t>Comunicare interna privind achizitia site-ului Doicesti pentru proiect propriu Nova Power &amp; Gas</w:t>
      </w:r>
    </w:p>
    <w:p w14:paraId="6695A85C" w14:textId="2447ABA2" w:rsidR="00EB3377" w:rsidRPr="00EB3377" w:rsidRDefault="00EB3377" w:rsidP="00EB3377">
      <w:pPr>
        <w:pStyle w:val="ListParagraph"/>
        <w:numPr>
          <w:ilvl w:val="0"/>
          <w:numId w:val="3"/>
        </w:numPr>
        <w:spacing w:after="150" w:line="300" w:lineRule="auto"/>
        <w:jc w:val="both"/>
      </w:pPr>
      <w:r w:rsidRPr="00EB3377">
        <w:rPr>
          <w:i/>
          <w:iCs/>
          <w:color w:val="1A1A1A"/>
          <w:sz w:val="18"/>
          <w:szCs w:val="18"/>
        </w:rPr>
        <w:t>4 evaluari (3 evaluari pr</w:t>
      </w:r>
      <w:r>
        <w:rPr>
          <w:i/>
          <w:iCs/>
          <w:color w:val="1A1A1A"/>
          <w:sz w:val="18"/>
          <w:szCs w:val="18"/>
        </w:rPr>
        <w:t>e</w:t>
      </w:r>
      <w:r w:rsidRPr="00EB3377">
        <w:rPr>
          <w:i/>
          <w:iCs/>
          <w:color w:val="1A1A1A"/>
          <w:sz w:val="18"/>
          <w:szCs w:val="18"/>
        </w:rPr>
        <w:t>-tranzactie si 1 evaluare post tranzacție)</w:t>
      </w:r>
      <w:r>
        <w:rPr>
          <w:i/>
          <w:iCs/>
          <w:color w:val="1A1A1A"/>
          <w:sz w:val="18"/>
          <w:szCs w:val="18"/>
        </w:rPr>
        <w:t>;</w:t>
      </w:r>
    </w:p>
    <w:p w14:paraId="1CBA9D02" w14:textId="17835459" w:rsidR="00EB3377" w:rsidRPr="00EB3377" w:rsidRDefault="00EB3377" w:rsidP="00EB3377">
      <w:pPr>
        <w:pStyle w:val="ListParagraph"/>
        <w:numPr>
          <w:ilvl w:val="0"/>
          <w:numId w:val="3"/>
        </w:numPr>
        <w:spacing w:after="150" w:line="300" w:lineRule="auto"/>
        <w:jc w:val="both"/>
        <w:rPr>
          <w:i/>
          <w:iCs/>
          <w:color w:val="1A1A1A"/>
          <w:sz w:val="18"/>
          <w:szCs w:val="18"/>
        </w:rPr>
      </w:pPr>
      <w:r w:rsidRPr="00EB3377">
        <w:rPr>
          <w:i/>
          <w:iCs/>
          <w:color w:val="1A1A1A"/>
          <w:sz w:val="18"/>
          <w:szCs w:val="18"/>
        </w:rPr>
        <w:t>Notificarea transmisă Nuclearelectrica privind amânarea achiziției amplasamentului</w:t>
      </w:r>
      <w:r>
        <w:rPr>
          <w:i/>
          <w:iCs/>
          <w:color w:val="1A1A1A"/>
          <w:sz w:val="18"/>
          <w:szCs w:val="18"/>
        </w:rPr>
        <w:t>;</w:t>
      </w:r>
    </w:p>
    <w:p w14:paraId="38F65C4C" w14:textId="7AAF0F1C" w:rsidR="005034DD" w:rsidRPr="008230D0" w:rsidRDefault="00000000" w:rsidP="008230D0">
      <w:pPr>
        <w:pStyle w:val="ListParagraph"/>
        <w:numPr>
          <w:ilvl w:val="0"/>
          <w:numId w:val="3"/>
        </w:numPr>
        <w:spacing w:after="150" w:line="300" w:lineRule="auto"/>
        <w:jc w:val="both"/>
        <w:rPr>
          <w:i/>
          <w:iCs/>
          <w:color w:val="1A1A1A"/>
          <w:sz w:val="18"/>
          <w:szCs w:val="18"/>
        </w:rPr>
      </w:pPr>
      <w:r w:rsidRPr="00EB3377">
        <w:rPr>
          <w:i/>
          <w:iCs/>
          <w:color w:val="1A1A1A"/>
          <w:sz w:val="18"/>
          <w:szCs w:val="18"/>
        </w:rPr>
        <w:t xml:space="preserve">3 notificări privind dreptul de reversare a tranzacției. </w:t>
      </w:r>
    </w:p>
    <w:sectPr w:rsidR="005034DD" w:rsidRPr="008230D0" w:rsidSect="008230D0">
      <w:pgSz w:w="11906" w:h="16838"/>
      <w:pgMar w:top="976" w:right="886" w:bottom="1300" w:left="9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560FE"/>
    <w:multiLevelType w:val="hybridMultilevel"/>
    <w:tmpl w:val="89644680"/>
    <w:lvl w:ilvl="0" w:tplc="2A2067CE">
      <w:start w:val="1"/>
      <w:numFmt w:val="bullet"/>
      <w:lvlText w:val="●"/>
      <w:lvlJc w:val="left"/>
      <w:pPr>
        <w:ind w:left="720" w:hanging="360"/>
      </w:pPr>
    </w:lvl>
    <w:lvl w:ilvl="1" w:tplc="DDF6BA8A">
      <w:start w:val="1"/>
      <w:numFmt w:val="bullet"/>
      <w:lvlText w:val="○"/>
      <w:lvlJc w:val="left"/>
      <w:pPr>
        <w:ind w:left="1440" w:hanging="360"/>
      </w:pPr>
    </w:lvl>
    <w:lvl w:ilvl="2" w:tplc="F446B30A">
      <w:start w:val="1"/>
      <w:numFmt w:val="bullet"/>
      <w:lvlText w:val="■"/>
      <w:lvlJc w:val="left"/>
      <w:pPr>
        <w:ind w:left="2160" w:hanging="360"/>
      </w:pPr>
    </w:lvl>
    <w:lvl w:ilvl="3" w:tplc="22242502">
      <w:start w:val="1"/>
      <w:numFmt w:val="bullet"/>
      <w:lvlText w:val="●"/>
      <w:lvlJc w:val="left"/>
      <w:pPr>
        <w:ind w:left="2880" w:hanging="360"/>
      </w:pPr>
    </w:lvl>
    <w:lvl w:ilvl="4" w:tplc="4992D6E0">
      <w:start w:val="1"/>
      <w:numFmt w:val="bullet"/>
      <w:lvlText w:val="○"/>
      <w:lvlJc w:val="left"/>
      <w:pPr>
        <w:ind w:left="3600" w:hanging="360"/>
      </w:pPr>
    </w:lvl>
    <w:lvl w:ilvl="5" w:tplc="E4D20D42">
      <w:start w:val="1"/>
      <w:numFmt w:val="bullet"/>
      <w:lvlText w:val="■"/>
      <w:lvlJc w:val="left"/>
      <w:pPr>
        <w:ind w:left="4320" w:hanging="360"/>
      </w:pPr>
    </w:lvl>
    <w:lvl w:ilvl="6" w:tplc="1B608832">
      <w:start w:val="1"/>
      <w:numFmt w:val="bullet"/>
      <w:lvlText w:val="●"/>
      <w:lvlJc w:val="left"/>
      <w:pPr>
        <w:ind w:left="5040" w:hanging="360"/>
      </w:pPr>
    </w:lvl>
    <w:lvl w:ilvl="7" w:tplc="6B145E06">
      <w:start w:val="1"/>
      <w:numFmt w:val="bullet"/>
      <w:lvlText w:val="●"/>
      <w:lvlJc w:val="left"/>
      <w:pPr>
        <w:ind w:left="5760" w:hanging="360"/>
      </w:pPr>
    </w:lvl>
    <w:lvl w:ilvl="8" w:tplc="AB00C434">
      <w:start w:val="1"/>
      <w:numFmt w:val="bullet"/>
      <w:lvlText w:val="●"/>
      <w:lvlJc w:val="left"/>
      <w:pPr>
        <w:ind w:left="6480" w:hanging="360"/>
      </w:pPr>
    </w:lvl>
  </w:abstractNum>
  <w:abstractNum w:abstractNumId="1" w15:restartNumberingAfterBreak="0">
    <w:nsid w:val="59F0143E"/>
    <w:multiLevelType w:val="hybridMultilevel"/>
    <w:tmpl w:val="8B7CAC38"/>
    <w:lvl w:ilvl="0" w:tplc="89DA1742">
      <w:start w:val="1"/>
      <w:numFmt w:val="bullet"/>
      <w:lvlText w:val="•"/>
      <w:lvlJc w:val="left"/>
      <w:pPr>
        <w:ind w:left="691" w:hanging="273"/>
      </w:pPr>
    </w:lvl>
    <w:lvl w:ilvl="1" w:tplc="A86480CA">
      <w:numFmt w:val="decimal"/>
      <w:lvlText w:val=""/>
      <w:lvlJc w:val="left"/>
    </w:lvl>
    <w:lvl w:ilvl="2" w:tplc="6A2A5E34">
      <w:numFmt w:val="decimal"/>
      <w:lvlText w:val=""/>
      <w:lvlJc w:val="left"/>
    </w:lvl>
    <w:lvl w:ilvl="3" w:tplc="6B8A28AC">
      <w:numFmt w:val="decimal"/>
      <w:lvlText w:val=""/>
      <w:lvlJc w:val="left"/>
    </w:lvl>
    <w:lvl w:ilvl="4" w:tplc="BA222A1A">
      <w:numFmt w:val="decimal"/>
      <w:lvlText w:val=""/>
      <w:lvlJc w:val="left"/>
    </w:lvl>
    <w:lvl w:ilvl="5" w:tplc="A90A9412">
      <w:numFmt w:val="decimal"/>
      <w:lvlText w:val=""/>
      <w:lvlJc w:val="left"/>
    </w:lvl>
    <w:lvl w:ilvl="6" w:tplc="137CC4A2">
      <w:numFmt w:val="decimal"/>
      <w:lvlText w:val=""/>
      <w:lvlJc w:val="left"/>
    </w:lvl>
    <w:lvl w:ilvl="7" w:tplc="32F445C8">
      <w:numFmt w:val="decimal"/>
      <w:lvlText w:val=""/>
      <w:lvlJc w:val="left"/>
    </w:lvl>
    <w:lvl w:ilvl="8" w:tplc="5D8095E8">
      <w:numFmt w:val="decimal"/>
      <w:lvlText w:val=""/>
      <w:lvlJc w:val="left"/>
    </w:lvl>
  </w:abstractNum>
  <w:abstractNum w:abstractNumId="2" w15:restartNumberingAfterBreak="0">
    <w:nsid w:val="5AA77E75"/>
    <w:multiLevelType w:val="hybridMultilevel"/>
    <w:tmpl w:val="30C2D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2420017">
    <w:abstractNumId w:val="0"/>
    <w:lvlOverride w:ilvl="0">
      <w:startOverride w:val="1"/>
    </w:lvlOverride>
  </w:num>
  <w:num w:numId="2" w16cid:durableId="57244843">
    <w:abstractNumId w:val="1"/>
    <w:lvlOverride w:ilvl="0">
      <w:startOverride w:val="1"/>
    </w:lvlOverride>
  </w:num>
  <w:num w:numId="3" w16cid:durableId="8432016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4DD"/>
    <w:rsid w:val="0001007E"/>
    <w:rsid w:val="00020B67"/>
    <w:rsid w:val="004258ED"/>
    <w:rsid w:val="005034DD"/>
    <w:rsid w:val="005665E9"/>
    <w:rsid w:val="008230D0"/>
    <w:rsid w:val="009B27D4"/>
    <w:rsid w:val="009D37FD"/>
    <w:rsid w:val="00A7618E"/>
    <w:rsid w:val="00A850EB"/>
    <w:rsid w:val="00B21304"/>
    <w:rsid w:val="00BB554C"/>
    <w:rsid w:val="00C03746"/>
    <w:rsid w:val="00C16E79"/>
    <w:rsid w:val="00CD1BEB"/>
    <w:rsid w:val="00EB3377"/>
    <w:rsid w:val="00F22A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0CE10FC"/>
  <w15:docId w15:val="{0E2EEC97-10A7-884F-BC3E-0E1FB1320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Strong">
    <w:name w:val="Strong"/>
    <w:basedOn w:val="DefaultParagraphFont"/>
    <w:uiPriority w:val="22"/>
    <w:qFormat/>
    <w:rsid w:val="00C16E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27</TotalTime>
  <Pages>3</Pages>
  <Words>1323</Words>
  <Characters>7544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Anca SEVERIN | E-INFRA</cp:lastModifiedBy>
  <cp:revision>8</cp:revision>
  <cp:lastPrinted>2026-07-27T21:17:00Z</cp:lastPrinted>
  <dcterms:created xsi:type="dcterms:W3CDTF">2026-07-27T21:17:00Z</dcterms:created>
  <dcterms:modified xsi:type="dcterms:W3CDTF">2026-07-27T22:20:00Z</dcterms:modified>
</cp:coreProperties>
</file>